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3D5C" w14:textId="54FD149C" w:rsidR="001021A0" w:rsidRDefault="00BB7C34" w:rsidP="00BB7C34">
      <w:r>
        <w:rPr>
          <w:noProof/>
        </w:rPr>
        <w:drawing>
          <wp:inline distT="0" distB="0" distL="0" distR="0" wp14:anchorId="416AE18E" wp14:editId="4C8F7539">
            <wp:extent cx="6793267" cy="96088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739" cy="976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76801" w14:textId="6FA91EB1" w:rsidR="00BB7C34" w:rsidRDefault="00BB7C34">
      <w:r>
        <w:t xml:space="preserve">Geistliche Fürsten und Geistliche Staaten in der Spätphase des Alten Reiches. Symposion zum 60. Geb. von Frank Göttmann, 5.-7. Okt. 2006. </w:t>
      </w:r>
      <w:proofErr w:type="spellStart"/>
      <w:r>
        <w:t>Hg</w:t>
      </w:r>
      <w:proofErr w:type="spellEnd"/>
      <w:r>
        <w:t xml:space="preserve">. v.  Bettina Braun, Mareike Menne, Michael Ströhmer. </w:t>
      </w:r>
      <w:proofErr w:type="spellStart"/>
      <w:r>
        <w:t>Epfendorf</w:t>
      </w:r>
      <w:proofErr w:type="spellEnd"/>
      <w:r>
        <w:t xml:space="preserve"> 2008.</w:t>
      </w:r>
    </w:p>
    <w:sectPr w:rsidR="00BB7C34" w:rsidSect="00BB7C34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34"/>
    <w:rsid w:val="001021A0"/>
    <w:rsid w:val="00B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18B"/>
  <w15:chartTrackingRefBased/>
  <w15:docId w15:val="{13979BFC-3A9E-4B88-B7A8-C564CD0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Göttmann</dc:creator>
  <cp:keywords/>
  <dc:description/>
  <cp:lastModifiedBy>Frank Göttmann</cp:lastModifiedBy>
  <cp:revision>1</cp:revision>
  <dcterms:created xsi:type="dcterms:W3CDTF">2021-02-13T16:20:00Z</dcterms:created>
  <dcterms:modified xsi:type="dcterms:W3CDTF">2021-02-13T16:25:00Z</dcterms:modified>
</cp:coreProperties>
</file>